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F817" w14:textId="7E4B7DA8" w:rsidR="007F7B13" w:rsidRPr="006D2E11" w:rsidRDefault="007F7B13" w:rsidP="007F7B13">
      <w:pPr>
        <w:pStyle w:val="Titel"/>
        <w:rPr>
          <w:color w:val="2F5496" w:themeColor="accent1" w:themeShade="BF"/>
          <w:sz w:val="48"/>
          <w:szCs w:val="48"/>
          <w:lang w:eastAsia="da-DK"/>
        </w:rPr>
      </w:pPr>
      <w:r w:rsidRPr="006D2E11">
        <w:rPr>
          <w:color w:val="2F5496" w:themeColor="accent1" w:themeShade="BF"/>
          <w:sz w:val="48"/>
          <w:szCs w:val="48"/>
          <w:lang w:eastAsia="da-DK"/>
        </w:rPr>
        <w:t xml:space="preserve">Danmark </w:t>
      </w:r>
      <w:r w:rsidR="001B717E">
        <w:rPr>
          <w:color w:val="2F5496" w:themeColor="accent1" w:themeShade="BF"/>
          <w:sz w:val="48"/>
          <w:szCs w:val="48"/>
          <w:lang w:eastAsia="da-DK"/>
        </w:rPr>
        <w:t>får et</w:t>
      </w:r>
      <w:r w:rsidRPr="006D2E11">
        <w:rPr>
          <w:color w:val="2F5496" w:themeColor="accent1" w:themeShade="BF"/>
          <w:sz w:val="48"/>
          <w:szCs w:val="48"/>
          <w:lang w:eastAsia="da-DK"/>
        </w:rPr>
        <w:t xml:space="preserve"> nyt nationalt demenssymbol</w:t>
      </w:r>
    </w:p>
    <w:p w14:paraId="0D414DBE" w14:textId="4D615D59" w:rsidR="007F7B13" w:rsidRDefault="001B717E" w:rsidP="00B6574C">
      <w:pPr>
        <w:rPr>
          <w:color w:val="1F497D"/>
          <w:lang w:eastAsia="da-DK"/>
        </w:rPr>
      </w:pPr>
      <w:r w:rsidRPr="007F7B13">
        <w:rPr>
          <w:noProof/>
        </w:rPr>
        <w:drawing>
          <wp:anchor distT="0" distB="0" distL="114300" distR="114300" simplePos="0" relativeHeight="251661312" behindDoc="0" locked="0" layoutInCell="1" allowOverlap="1" wp14:anchorId="7CD42131" wp14:editId="618DD731">
            <wp:simplePos x="0" y="0"/>
            <wp:positionH relativeFrom="page">
              <wp:posOffset>5172710</wp:posOffset>
            </wp:positionH>
            <wp:positionV relativeFrom="paragraph">
              <wp:posOffset>128270</wp:posOffset>
            </wp:positionV>
            <wp:extent cx="2139950" cy="7112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99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131B5" w14:textId="6ADA2243" w:rsidR="00892332" w:rsidRDefault="007F7B13" w:rsidP="007F7B13">
      <w:pPr>
        <w:rPr>
          <w:lang w:eastAsia="da-DK"/>
        </w:rPr>
      </w:pPr>
      <w:r w:rsidRPr="007F7B13">
        <w:rPr>
          <w:lang w:eastAsia="da-DK"/>
        </w:rPr>
        <w:t xml:space="preserve">Den 10. maj </w:t>
      </w:r>
      <w:r w:rsidR="00892332">
        <w:rPr>
          <w:lang w:eastAsia="da-DK"/>
        </w:rPr>
        <w:t xml:space="preserve">får </w:t>
      </w:r>
      <w:r w:rsidRPr="007F7B13">
        <w:rPr>
          <w:lang w:eastAsia="da-DK"/>
        </w:rPr>
        <w:t>Danmark</w:t>
      </w:r>
      <w:r w:rsidR="00892332">
        <w:rPr>
          <w:lang w:eastAsia="da-DK"/>
        </w:rPr>
        <w:t xml:space="preserve"> et nyt </w:t>
      </w:r>
      <w:r w:rsidRPr="007F7B13">
        <w:rPr>
          <w:lang w:eastAsia="da-DK"/>
        </w:rPr>
        <w:t>demenssymbol</w:t>
      </w:r>
      <w:r w:rsidR="00892332">
        <w:rPr>
          <w:lang w:eastAsia="da-DK"/>
        </w:rPr>
        <w:t xml:space="preserve">. Det viser, at man lever med demens og giver omverdenen bedre mulighed for at hjælpe og udvise tålmodighed. Symbolet er en </w:t>
      </w:r>
      <w:r w:rsidR="00892332" w:rsidRPr="001B717E">
        <w:rPr>
          <w:b/>
          <w:bCs/>
          <w:color w:val="1F3864" w:themeColor="accent1" w:themeShade="80"/>
          <w:lang w:eastAsia="da-DK"/>
        </w:rPr>
        <w:t>håndsrækning</w:t>
      </w:r>
      <w:r w:rsidR="00892332">
        <w:rPr>
          <w:lang w:eastAsia="da-DK"/>
        </w:rPr>
        <w:t xml:space="preserve">. </w:t>
      </w:r>
      <w:r w:rsidR="00892332" w:rsidRPr="007F7B13">
        <w:rPr>
          <w:lang w:eastAsia="da-DK"/>
        </w:rPr>
        <w:t xml:space="preserve">For det er lige netop det, man på den </w:t>
      </w:r>
      <w:r w:rsidR="00892332">
        <w:rPr>
          <w:lang w:eastAsia="da-DK"/>
        </w:rPr>
        <w:t xml:space="preserve">ene </w:t>
      </w:r>
      <w:r w:rsidR="00892332" w:rsidRPr="007F7B13">
        <w:rPr>
          <w:lang w:eastAsia="da-DK"/>
        </w:rPr>
        <w:t>eller anden måde kan have brug for, når man har demens.</w:t>
      </w:r>
    </w:p>
    <w:p w14:paraId="619B0CDA" w14:textId="77777777" w:rsidR="007F7B13" w:rsidRPr="007F7B13" w:rsidRDefault="007F7B13" w:rsidP="00B6574C">
      <w:pPr>
        <w:rPr>
          <w:b/>
          <w:bCs/>
          <w:lang w:eastAsia="da-DK"/>
        </w:rPr>
      </w:pPr>
    </w:p>
    <w:p w14:paraId="36D581EB" w14:textId="7D66A26D" w:rsidR="007F7B13" w:rsidRPr="000E2C09" w:rsidRDefault="007F7B13" w:rsidP="000E2C09">
      <w:pPr>
        <w:pStyle w:val="Overskrift2"/>
        <w:rPr>
          <w:color w:val="1F3864" w:themeColor="accent1" w:themeShade="80"/>
          <w:lang w:eastAsia="da-DK"/>
        </w:rPr>
      </w:pPr>
      <w:r w:rsidRPr="000E2C09">
        <w:rPr>
          <w:color w:val="1F3864" w:themeColor="accent1" w:themeShade="80"/>
          <w:lang w:eastAsia="da-DK"/>
        </w:rPr>
        <w:t xml:space="preserve">Hvorfor er demensvenlighed vigtigt i detailhandel og </w:t>
      </w:r>
      <w:r w:rsidR="00892332" w:rsidRPr="000E2C09">
        <w:rPr>
          <w:color w:val="1F3864" w:themeColor="accent1" w:themeShade="80"/>
          <w:lang w:eastAsia="da-DK"/>
        </w:rPr>
        <w:t>supermarkeder</w:t>
      </w:r>
      <w:r w:rsidRPr="000E2C09">
        <w:rPr>
          <w:color w:val="1F3864" w:themeColor="accent1" w:themeShade="80"/>
          <w:lang w:eastAsia="da-DK"/>
        </w:rPr>
        <w:t>?</w:t>
      </w:r>
      <w:bookmarkStart w:id="0" w:name="_GoBack"/>
      <w:bookmarkEnd w:id="0"/>
    </w:p>
    <w:p w14:paraId="5C5046ED" w14:textId="6C19EFDF" w:rsidR="007F7B13" w:rsidRDefault="00777893" w:rsidP="00B6574C">
      <w:r>
        <w:t xml:space="preserve">At handle dagligvarer og andre indkøb er en af de ting, der kan være udfordrende for mennesker med demens. </w:t>
      </w:r>
      <w:r w:rsidR="007F7B13" w:rsidRPr="007F7B13">
        <w:t>Det stadig at kunne mestre og føle sig tryg og velkommen i supermarkedet eller tøjbutikken spiller en stor rolle i forhold til oplevelsen af at leve et fortsat deltagende og værdifuldt liv, når man har fået demens.</w:t>
      </w:r>
    </w:p>
    <w:p w14:paraId="43BD18C3" w14:textId="77777777" w:rsidR="007F7B13" w:rsidRPr="007F7B13" w:rsidRDefault="007F7B13" w:rsidP="00B6574C">
      <w:pPr>
        <w:rPr>
          <w:b/>
          <w:bCs/>
          <w:lang w:eastAsia="da-DK"/>
        </w:rPr>
      </w:pPr>
    </w:p>
    <w:p w14:paraId="25730343" w14:textId="548D6C59" w:rsidR="007F7B13" w:rsidRPr="000E2C09" w:rsidRDefault="007F7B13" w:rsidP="000E2C09">
      <w:pPr>
        <w:pStyle w:val="Overskrift2"/>
        <w:rPr>
          <w:color w:val="1F3864" w:themeColor="accent1" w:themeShade="80"/>
          <w:sz w:val="18"/>
          <w:szCs w:val="18"/>
          <w:lang w:eastAsia="da-DK"/>
        </w:rPr>
      </w:pPr>
      <w:r w:rsidRPr="000E2C09">
        <w:rPr>
          <w:color w:val="1F3864" w:themeColor="accent1" w:themeShade="80"/>
          <w:lang w:eastAsia="da-DK"/>
        </w:rPr>
        <w:t xml:space="preserve">Hvad betyder demenssymbolet? </w:t>
      </w:r>
    </w:p>
    <w:p w14:paraId="2C350223" w14:textId="680D3E20" w:rsidR="007F7B13" w:rsidRPr="00777893" w:rsidRDefault="00777893" w:rsidP="00777893">
      <w:pPr>
        <w:rPr>
          <w:sz w:val="16"/>
          <w:szCs w:val="16"/>
          <w:lang w:eastAsia="da-DK"/>
        </w:rPr>
      </w:pPr>
      <w:r>
        <w:t>Håndsrækningen betyder, at en person lever med demens, og derfor kan have brug for lidt mere tid, tålmodighed og nogle gange en hjælpende hånd.</w:t>
      </w:r>
      <w:r w:rsidR="006253D4">
        <w:t xml:space="preserve"> Mennesker med demens bærer symbolet frivilligt.</w:t>
      </w:r>
    </w:p>
    <w:p w14:paraId="78FFBFFC" w14:textId="77777777" w:rsidR="00777893" w:rsidRDefault="00777893" w:rsidP="00B6574C">
      <w:pPr>
        <w:rPr>
          <w:b/>
          <w:bCs/>
          <w:lang w:eastAsia="da-DK"/>
        </w:rPr>
      </w:pPr>
    </w:p>
    <w:p w14:paraId="71BFF868" w14:textId="158D62F4" w:rsidR="007F7B13" w:rsidRPr="000E2C09" w:rsidRDefault="007F7B13" w:rsidP="000E2C09">
      <w:pPr>
        <w:pStyle w:val="Overskrift2"/>
        <w:rPr>
          <w:color w:val="1F3864" w:themeColor="accent1" w:themeShade="80"/>
          <w:lang w:eastAsia="da-DK"/>
        </w:rPr>
      </w:pPr>
      <w:r w:rsidRPr="000E2C09">
        <w:rPr>
          <w:color w:val="1F3864" w:themeColor="accent1" w:themeShade="80"/>
          <w:lang w:eastAsia="da-DK"/>
        </w:rPr>
        <w:t>Hvor</w:t>
      </w:r>
      <w:r w:rsidR="006253D4">
        <w:rPr>
          <w:color w:val="1F3864" w:themeColor="accent1" w:themeShade="80"/>
          <w:lang w:eastAsia="da-DK"/>
        </w:rPr>
        <w:t>dan</w:t>
      </w:r>
      <w:r w:rsidRPr="000E2C09">
        <w:rPr>
          <w:color w:val="1F3864" w:themeColor="accent1" w:themeShade="80"/>
          <w:lang w:eastAsia="da-DK"/>
        </w:rPr>
        <w:t xml:space="preserve"> kan jeg</w:t>
      </w:r>
      <w:r w:rsidR="00FD1363">
        <w:rPr>
          <w:color w:val="1F3864" w:themeColor="accent1" w:themeShade="80"/>
          <w:lang w:eastAsia="da-DK"/>
        </w:rPr>
        <w:t xml:space="preserve"> som servicemedarbejder </w:t>
      </w:r>
      <w:r w:rsidRPr="000E2C09">
        <w:rPr>
          <w:color w:val="1F3864" w:themeColor="accent1" w:themeShade="80"/>
          <w:lang w:eastAsia="da-DK"/>
        </w:rPr>
        <w:t>møde demenssymbolet?</w:t>
      </w:r>
    </w:p>
    <w:p w14:paraId="51D0B689" w14:textId="3229C4E5" w:rsidR="00777893" w:rsidRDefault="00777893" w:rsidP="00777893">
      <w:pPr>
        <w:rPr>
          <w:lang w:eastAsia="da-DK"/>
        </w:rPr>
      </w:pPr>
      <w:r>
        <w:rPr>
          <w:lang w:eastAsia="da-DK"/>
        </w:rPr>
        <w:t xml:space="preserve">Symbolet kan bæres på forskellige måder. Mennesker med demens oplever meget forskellige behov for at signalere, at de har demens. Nogle vil gerne gå med et mere </w:t>
      </w:r>
      <w:r w:rsidR="003E7CC7">
        <w:rPr>
          <w:lang w:eastAsia="da-DK"/>
        </w:rPr>
        <w:t>iøjnefaldende</w:t>
      </w:r>
      <w:r>
        <w:rPr>
          <w:lang w:eastAsia="da-DK"/>
        </w:rPr>
        <w:t xml:space="preserve"> symbol, mens andre ønsker at det er mere diskret, og kan tages frem ved behov eller i </w:t>
      </w:r>
      <w:r w:rsidR="003E7CC7">
        <w:rPr>
          <w:lang w:eastAsia="da-DK"/>
        </w:rPr>
        <w:t>særlige</w:t>
      </w:r>
      <w:r>
        <w:rPr>
          <w:lang w:eastAsia="da-DK"/>
        </w:rPr>
        <w:t xml:space="preserve"> situationer</w:t>
      </w:r>
      <w:r w:rsidR="00FD1363">
        <w:rPr>
          <w:lang w:eastAsia="da-DK"/>
        </w:rPr>
        <w:t>, f.eks. en betalingssituation.</w:t>
      </w:r>
    </w:p>
    <w:p w14:paraId="25BEEDD5" w14:textId="2C4444EE" w:rsidR="00777893" w:rsidRDefault="00777893" w:rsidP="00777893">
      <w:pPr>
        <w:rPr>
          <w:lang w:eastAsia="da-DK"/>
        </w:rPr>
      </w:pPr>
    </w:p>
    <w:p w14:paraId="606AAC90" w14:textId="12D0C479" w:rsidR="00777893" w:rsidRDefault="00777893" w:rsidP="00777893">
      <w:pPr>
        <w:rPr>
          <w:lang w:eastAsia="da-DK"/>
        </w:rPr>
      </w:pPr>
      <w:r>
        <w:rPr>
          <w:lang w:eastAsia="da-DK"/>
        </w:rPr>
        <w:t>Derfor kan du</w:t>
      </w:r>
      <w:r w:rsidR="00FD1363">
        <w:rPr>
          <w:lang w:eastAsia="da-DK"/>
        </w:rPr>
        <w:t xml:space="preserve"> også</w:t>
      </w:r>
      <w:r>
        <w:rPr>
          <w:lang w:eastAsia="da-DK"/>
        </w:rPr>
        <w:t xml:space="preserve"> møde symbolet flere forskellige måder. Det kan være som en nål på tøjet, på et nøglekort omkring halsen på en person, på en nøglering, eller som klistermærke på et dankort, en pung eller lignende.</w:t>
      </w:r>
    </w:p>
    <w:p w14:paraId="5CE7EB4C" w14:textId="5E79256C" w:rsidR="007F7B13" w:rsidRPr="007F7B13" w:rsidRDefault="007F7B13" w:rsidP="00B6574C">
      <w:pPr>
        <w:rPr>
          <w:b/>
          <w:bCs/>
          <w:lang w:eastAsia="da-DK"/>
        </w:rPr>
      </w:pPr>
    </w:p>
    <w:p w14:paraId="0BECB550" w14:textId="689D9AD1" w:rsidR="007F7B13" w:rsidRPr="000E2C09" w:rsidRDefault="003502E1" w:rsidP="000E2C09">
      <w:pPr>
        <w:pStyle w:val="Overskrift2"/>
        <w:rPr>
          <w:color w:val="1F3864" w:themeColor="accent1" w:themeShade="80"/>
          <w:lang w:eastAsia="da-DK"/>
        </w:rPr>
      </w:pPr>
      <w:r>
        <w:rPr>
          <w:noProof/>
        </w:rPr>
        <w:drawing>
          <wp:anchor distT="0" distB="0" distL="114300" distR="114300" simplePos="0" relativeHeight="251662336" behindDoc="1" locked="0" layoutInCell="1" allowOverlap="1" wp14:anchorId="65368751" wp14:editId="3B123229">
            <wp:simplePos x="0" y="0"/>
            <wp:positionH relativeFrom="margin">
              <wp:posOffset>3409211</wp:posOffset>
            </wp:positionH>
            <wp:positionV relativeFrom="paragraph">
              <wp:posOffset>124223</wp:posOffset>
            </wp:positionV>
            <wp:extent cx="3322955" cy="3590925"/>
            <wp:effectExtent l="0" t="0" r="0" b="9525"/>
            <wp:wrapTight wrapText="bothSides">
              <wp:wrapPolygon edited="0">
                <wp:start x="0" y="0"/>
                <wp:lineTo x="0" y="21543"/>
                <wp:lineTo x="21423" y="21543"/>
                <wp:lineTo x="2142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295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13" w:rsidRPr="000E2C09">
        <w:rPr>
          <w:color w:val="1F3864" w:themeColor="accent1" w:themeShade="80"/>
          <w:lang w:eastAsia="da-DK"/>
        </w:rPr>
        <w:t>Hvad skal jeg gøre, når jeg ser en person bære demenssymbolet?</w:t>
      </w:r>
    </w:p>
    <w:p w14:paraId="0372DD01" w14:textId="3B4DC46D" w:rsidR="00FD1363" w:rsidRDefault="00FD1363" w:rsidP="00B6574C">
      <w:pPr>
        <w:rPr>
          <w:lang w:eastAsia="da-DK"/>
        </w:rPr>
      </w:pPr>
      <w:r>
        <w:rPr>
          <w:lang w:eastAsia="da-DK"/>
        </w:rPr>
        <w:t xml:space="preserve">Når du ser en person med demenssymbolet, </w:t>
      </w:r>
      <w:r w:rsidR="00C83B72">
        <w:rPr>
          <w:lang w:eastAsia="da-DK"/>
        </w:rPr>
        <w:t>og du fornemmer der er behov for hjælp</w:t>
      </w:r>
      <w:r w:rsidR="00A011C3">
        <w:rPr>
          <w:lang w:eastAsia="da-DK"/>
        </w:rPr>
        <w:t>,</w:t>
      </w:r>
      <w:r w:rsidR="00C83B72">
        <w:rPr>
          <w:lang w:eastAsia="da-DK"/>
        </w:rPr>
        <w:t xml:space="preserve"> </w:t>
      </w:r>
      <w:r>
        <w:rPr>
          <w:lang w:eastAsia="da-DK"/>
        </w:rPr>
        <w:t>kan du hjælpe ved at huske på disse tre råd:</w:t>
      </w:r>
    </w:p>
    <w:p w14:paraId="5D0A47D6" w14:textId="6CD19D86" w:rsidR="00FD1363" w:rsidRDefault="00FD1363" w:rsidP="00B6574C">
      <w:pPr>
        <w:rPr>
          <w:lang w:eastAsia="da-DK"/>
        </w:rPr>
      </w:pPr>
    </w:p>
    <w:p w14:paraId="69398C30" w14:textId="1908CF7C" w:rsidR="00FD1363" w:rsidRPr="00FD1363" w:rsidRDefault="00FD1363" w:rsidP="00FD1363">
      <w:pPr>
        <w:pStyle w:val="Listeafsnit"/>
        <w:numPr>
          <w:ilvl w:val="0"/>
          <w:numId w:val="2"/>
        </w:numPr>
        <w:rPr>
          <w:lang w:eastAsia="da-DK"/>
        </w:rPr>
      </w:pPr>
      <w:r w:rsidRPr="00FD1363">
        <w:rPr>
          <w:b/>
          <w:bCs/>
          <w:color w:val="1F3864" w:themeColor="accent1" w:themeShade="80"/>
          <w:lang w:eastAsia="da-DK"/>
        </w:rPr>
        <w:t xml:space="preserve">Tag kontakt </w:t>
      </w:r>
      <w:r w:rsidRPr="00FD1363">
        <w:rPr>
          <w:lang w:eastAsia="da-DK"/>
        </w:rPr>
        <w:t>– mennesker med demens kan virke forvirrede og rækker måske ikke selv ud efter hjælp</w:t>
      </w:r>
      <w:r w:rsidR="00A011C3">
        <w:rPr>
          <w:lang w:eastAsia="da-DK"/>
        </w:rPr>
        <w:t xml:space="preserve">. Det gør en stor forskel, at de møder et </w:t>
      </w:r>
      <w:r w:rsidRPr="00FD1363">
        <w:rPr>
          <w:lang w:eastAsia="da-DK"/>
        </w:rPr>
        <w:t>smil og imødekommende</w:t>
      </w:r>
      <w:r w:rsidR="00A011C3">
        <w:rPr>
          <w:lang w:eastAsia="da-DK"/>
        </w:rPr>
        <w:t xml:space="preserve"> adfærd</w:t>
      </w:r>
      <w:r w:rsidR="00944C7B">
        <w:rPr>
          <w:lang w:eastAsia="da-DK"/>
        </w:rPr>
        <w:t>, og at man fx italesætter at der ikke er nogle, der har travlt.</w:t>
      </w:r>
    </w:p>
    <w:p w14:paraId="5E579CFD" w14:textId="2AAA53A6" w:rsidR="00FD1363" w:rsidRPr="00FD1363" w:rsidRDefault="00FD1363" w:rsidP="00FD1363">
      <w:pPr>
        <w:pStyle w:val="Listeafsnit"/>
        <w:numPr>
          <w:ilvl w:val="0"/>
          <w:numId w:val="2"/>
        </w:numPr>
        <w:rPr>
          <w:lang w:eastAsia="da-DK"/>
        </w:rPr>
      </w:pPr>
      <w:r w:rsidRPr="00FD1363">
        <w:rPr>
          <w:b/>
          <w:bCs/>
          <w:color w:val="1F3864" w:themeColor="accent1" w:themeShade="80"/>
          <w:lang w:eastAsia="da-DK"/>
        </w:rPr>
        <w:t>Tal tydeligt</w:t>
      </w:r>
      <w:r w:rsidRPr="00FD1363">
        <w:rPr>
          <w:b/>
          <w:bCs/>
          <w:lang w:eastAsia="da-DK"/>
        </w:rPr>
        <w:t xml:space="preserve"> </w:t>
      </w:r>
      <w:r w:rsidRPr="00FD1363">
        <w:rPr>
          <w:lang w:eastAsia="da-DK"/>
        </w:rPr>
        <w:t>– mennesker med demens kan have svært ved at finde ordene, så sæt tempoet ned og så stil ét spørgsmål a</w:t>
      </w:r>
      <w:r>
        <w:rPr>
          <w:lang w:eastAsia="da-DK"/>
        </w:rPr>
        <w:t>d</w:t>
      </w:r>
      <w:r w:rsidRPr="00FD1363">
        <w:rPr>
          <w:lang w:eastAsia="da-DK"/>
        </w:rPr>
        <w:t xml:space="preserve"> gangen</w:t>
      </w:r>
      <w:r w:rsidR="00A011C3">
        <w:rPr>
          <w:lang w:eastAsia="da-DK"/>
        </w:rPr>
        <w:t>.</w:t>
      </w:r>
    </w:p>
    <w:p w14:paraId="622E863A" w14:textId="400941C8" w:rsidR="00FD1363" w:rsidRPr="00FD1363" w:rsidRDefault="00FD1363" w:rsidP="00FD1363">
      <w:pPr>
        <w:pStyle w:val="Listeafsnit"/>
        <w:numPr>
          <w:ilvl w:val="0"/>
          <w:numId w:val="2"/>
        </w:numPr>
        <w:rPr>
          <w:lang w:eastAsia="da-DK"/>
        </w:rPr>
      </w:pPr>
      <w:r w:rsidRPr="00FD1363">
        <w:rPr>
          <w:b/>
          <w:bCs/>
          <w:color w:val="1F3864" w:themeColor="accent1" w:themeShade="80"/>
          <w:lang w:eastAsia="da-DK"/>
        </w:rPr>
        <w:t xml:space="preserve">Vær tålmodig </w:t>
      </w:r>
      <w:r w:rsidRPr="00FD1363">
        <w:rPr>
          <w:lang w:eastAsia="da-DK"/>
        </w:rPr>
        <w:t>– mennesker med demens kan lettere blive distraheret, og ord er ikke altid nok til at hjælpe på vej</w:t>
      </w:r>
      <w:r w:rsidR="00A011C3">
        <w:rPr>
          <w:lang w:eastAsia="da-DK"/>
        </w:rPr>
        <w:t>. Nogle kan pga. koordinationsvanskeligheder have svært ved at lægge varerne på båndet, eller huske hvor betalingskortet gemmer sig i pungen. Udvis tålmodighed, så de bevarer roen i situationen.</w:t>
      </w:r>
    </w:p>
    <w:p w14:paraId="1B615C74" w14:textId="3064C43B" w:rsidR="007F7B13" w:rsidRPr="00FD1363" w:rsidRDefault="007F7B13" w:rsidP="00FD1363">
      <w:pPr>
        <w:pStyle w:val="Overskrift2"/>
        <w:rPr>
          <w:rFonts w:cs="Calibri"/>
          <w:color w:val="1F3864" w:themeColor="accent1" w:themeShade="80"/>
        </w:rPr>
      </w:pPr>
      <w:r w:rsidRPr="00FD1363">
        <w:rPr>
          <w:color w:val="1F3864" w:themeColor="accent1" w:themeShade="80"/>
        </w:rPr>
        <w:lastRenderedPageBreak/>
        <w:t>Hvem står bag?</w:t>
      </w:r>
    </w:p>
    <w:p w14:paraId="51CC4BAF" w14:textId="0AAA2BB2" w:rsidR="007F7B13" w:rsidRPr="00512C4F" w:rsidRDefault="00FD1363" w:rsidP="007F7B13">
      <w:pPr>
        <w:rPr>
          <w:rFonts w:cstheme="minorHAnsi"/>
        </w:rPr>
      </w:pPr>
      <w:r w:rsidRPr="00FD1363">
        <w:rPr>
          <w:rFonts w:cstheme="minorHAnsi"/>
          <w:bCs/>
        </w:rPr>
        <w:t>Folkebevægelsen for et Demensvenligt Danmark er sat i verden for at gøre det offentlige rum mere demensvenligt</w:t>
      </w:r>
      <w:r>
        <w:rPr>
          <w:rFonts w:cstheme="minorHAnsi"/>
          <w:b/>
          <w:color w:val="458498"/>
        </w:rPr>
        <w:t xml:space="preserve">. </w:t>
      </w:r>
      <w:r w:rsidR="007F7B13">
        <w:rPr>
          <w:rFonts w:cstheme="minorHAnsi"/>
        </w:rPr>
        <w:t>Vi spiller alle en rolle i indsatsen, både som organisationer, institutioner og privatpersoner. Men det er Demensvenligt Danmark og nedenstående</w:t>
      </w:r>
      <w:r>
        <w:rPr>
          <w:rFonts w:cstheme="minorHAnsi"/>
        </w:rPr>
        <w:t xml:space="preserve"> 12</w:t>
      </w:r>
      <w:r w:rsidR="007F7B13">
        <w:rPr>
          <w:rFonts w:cstheme="minorHAnsi"/>
        </w:rPr>
        <w:t xml:space="preserve"> organisationer, der står bag indsatsen og driver arbejdet med at kommunikere og etablere samarbejder med relevante kommuner, foreninger og erhvervsliv.</w:t>
      </w:r>
    </w:p>
    <w:p w14:paraId="6709391A" w14:textId="4E97DE5B" w:rsidR="00512C4F" w:rsidRDefault="007F7B13" w:rsidP="00512C4F">
      <w:pPr>
        <w:rPr>
          <w:lang w:eastAsia="da-DK"/>
        </w:rPr>
      </w:pPr>
      <w:r>
        <w:rPr>
          <w:noProof/>
        </w:rPr>
        <w:drawing>
          <wp:inline distT="0" distB="0" distL="0" distR="0" wp14:anchorId="4642A58D" wp14:editId="4E871E12">
            <wp:extent cx="6120130" cy="37846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20130" cy="378460"/>
                    </a:xfrm>
                    <a:prstGeom prst="rect">
                      <a:avLst/>
                    </a:prstGeom>
                    <a:noFill/>
                    <a:ln>
                      <a:noFill/>
                    </a:ln>
                  </pic:spPr>
                </pic:pic>
              </a:graphicData>
            </a:graphic>
          </wp:inline>
        </w:drawing>
      </w:r>
    </w:p>
    <w:p w14:paraId="2B71E852" w14:textId="77777777" w:rsidR="00512C4F" w:rsidRDefault="00512C4F" w:rsidP="00512C4F">
      <w:pPr>
        <w:rPr>
          <w:lang w:eastAsia="da-DK"/>
        </w:rPr>
      </w:pPr>
    </w:p>
    <w:p w14:paraId="027576DA" w14:textId="4BEA4BEF" w:rsidR="00512C4F" w:rsidRDefault="00512C4F" w:rsidP="00512C4F">
      <w:pPr>
        <w:rPr>
          <w:rFonts w:cstheme="minorHAnsi"/>
        </w:rPr>
      </w:pPr>
      <w:r w:rsidRPr="00FD1363">
        <w:rPr>
          <w:lang w:eastAsia="da-DK"/>
        </w:rPr>
        <w:t>Symbolet er udviklet som en del af indsatsen ’</w:t>
      </w:r>
      <w:r w:rsidRPr="00FD1363">
        <w:rPr>
          <w:i/>
          <w:iCs/>
          <w:lang w:eastAsia="da-DK"/>
        </w:rPr>
        <w:t>Bedre hjælp til mennesker med demens i det offentlige rum’</w:t>
      </w:r>
      <w:r w:rsidRPr="00FD1363">
        <w:rPr>
          <w:lang w:eastAsia="da-DK"/>
        </w:rPr>
        <w:t xml:space="preserve">, som </w:t>
      </w:r>
      <w:r w:rsidRPr="00FD1363">
        <w:rPr>
          <w:rFonts w:cstheme="minorHAnsi"/>
        </w:rPr>
        <w:t>retter sig mod den enkeltes mulighed for at indgå i lokalsamfundet og i fællesskabet - også efter, at man har fået en demensdiagnose. Symbolet skal øge trygheden ved at bevæge sig i det offentlige rum, og samtidigt gøre det nemmere for andre at vise ekstra hensyn eller hjælpe til, hvis en person med demens har brug for en håndsrækning.</w:t>
      </w:r>
    </w:p>
    <w:p w14:paraId="766FE7DD" w14:textId="3E1EF389" w:rsidR="00512C4F" w:rsidRDefault="00512C4F" w:rsidP="00512C4F">
      <w:pPr>
        <w:rPr>
          <w:rFonts w:cstheme="minorHAnsi"/>
        </w:rPr>
      </w:pPr>
    </w:p>
    <w:p w14:paraId="44719820" w14:textId="407659AC" w:rsidR="00512C4F" w:rsidRDefault="00B756D1" w:rsidP="00512C4F">
      <w:pPr>
        <w:rPr>
          <w:lang w:eastAsia="da-DK"/>
        </w:rPr>
      </w:pPr>
      <w:r>
        <w:rPr>
          <w:lang w:eastAsia="da-DK"/>
        </w:rPr>
        <w:t xml:space="preserve">Vi håber, at I vil tage del i indsatsen ved at være opmærksomme på demenssymbolet. </w:t>
      </w:r>
    </w:p>
    <w:p w14:paraId="36E63087" w14:textId="1CD2C079" w:rsidR="00B756D1" w:rsidRPr="00FD1363" w:rsidRDefault="00B756D1" w:rsidP="00512C4F">
      <w:pPr>
        <w:rPr>
          <w:lang w:eastAsia="da-DK"/>
        </w:rPr>
      </w:pPr>
      <w:r>
        <w:rPr>
          <w:lang w:eastAsia="da-DK"/>
        </w:rPr>
        <w:t>Folkebevægelsen for et Demensvenligt Danmark</w:t>
      </w:r>
    </w:p>
    <w:p w14:paraId="78F83A2A" w14:textId="6FA63E37" w:rsidR="007F7B13" w:rsidRDefault="007F7B13" w:rsidP="007F7B13"/>
    <w:sectPr w:rsidR="007F7B13">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3D406" w14:textId="77777777" w:rsidR="00180282" w:rsidRDefault="00180282" w:rsidP="007F7B13">
      <w:r>
        <w:separator/>
      </w:r>
    </w:p>
  </w:endnote>
  <w:endnote w:type="continuationSeparator" w:id="0">
    <w:p w14:paraId="4F004A33" w14:textId="77777777" w:rsidR="00180282" w:rsidRDefault="00180282" w:rsidP="007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7929" w14:textId="77777777" w:rsidR="00180282" w:rsidRDefault="00180282" w:rsidP="007F7B13">
      <w:r>
        <w:separator/>
      </w:r>
    </w:p>
  </w:footnote>
  <w:footnote w:type="continuationSeparator" w:id="0">
    <w:p w14:paraId="23AFE801" w14:textId="77777777" w:rsidR="00180282" w:rsidRDefault="00180282" w:rsidP="007F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C848" w14:textId="0F0545E9" w:rsidR="007F7B13" w:rsidRPr="007F7B13" w:rsidRDefault="007F7B13">
    <w:pPr>
      <w:pStyle w:val="Sidehoved"/>
      <w:rPr>
        <w:color w:val="808080" w:themeColor="background1" w:themeShade="80"/>
      </w:rPr>
    </w:pPr>
    <w:r w:rsidRPr="007F7B13">
      <w:rPr>
        <w:rFonts w:cstheme="minorHAnsi"/>
        <w:bCs/>
        <w:noProof/>
        <w:color w:val="808080" w:themeColor="background1" w:themeShade="80"/>
        <w:sz w:val="24"/>
        <w:szCs w:val="24"/>
        <w:lang w:eastAsia="da-DK"/>
      </w:rPr>
      <w:drawing>
        <wp:anchor distT="0" distB="0" distL="114300" distR="114300" simplePos="0" relativeHeight="251659264" behindDoc="0" locked="0" layoutInCell="1" allowOverlap="1" wp14:anchorId="6AFFE952" wp14:editId="3E467328">
          <wp:simplePos x="0" y="0"/>
          <wp:positionH relativeFrom="page">
            <wp:posOffset>6425565</wp:posOffset>
          </wp:positionH>
          <wp:positionV relativeFrom="paragraph">
            <wp:posOffset>-362585</wp:posOffset>
          </wp:positionV>
          <wp:extent cx="1000125" cy="1000125"/>
          <wp:effectExtent l="0" t="0" r="9525" b="9525"/>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y-base-logo-fa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007F7B13">
      <w:rPr>
        <w:color w:val="808080" w:themeColor="background1" w:themeShade="80"/>
      </w:rPr>
      <w:t>Folkebevægelsen for et Demensvenligt Danmark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73A25"/>
    <w:multiLevelType w:val="hybridMultilevel"/>
    <w:tmpl w:val="D2D0F24E"/>
    <w:lvl w:ilvl="0" w:tplc="4626A710">
      <w:start w:val="6"/>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E344FC"/>
    <w:multiLevelType w:val="hybridMultilevel"/>
    <w:tmpl w:val="7C0C4A2A"/>
    <w:lvl w:ilvl="0" w:tplc="4626A710">
      <w:start w:val="6"/>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4C"/>
    <w:rsid w:val="000E2C09"/>
    <w:rsid w:val="00180282"/>
    <w:rsid w:val="001B64AC"/>
    <w:rsid w:val="001B717E"/>
    <w:rsid w:val="00253607"/>
    <w:rsid w:val="003502E1"/>
    <w:rsid w:val="003759EE"/>
    <w:rsid w:val="003E3928"/>
    <w:rsid w:val="003E7CC7"/>
    <w:rsid w:val="00512C4F"/>
    <w:rsid w:val="005E78C0"/>
    <w:rsid w:val="006253D4"/>
    <w:rsid w:val="006D2E11"/>
    <w:rsid w:val="00777893"/>
    <w:rsid w:val="007D3608"/>
    <w:rsid w:val="007F7B13"/>
    <w:rsid w:val="00883D64"/>
    <w:rsid w:val="00892332"/>
    <w:rsid w:val="00944C7B"/>
    <w:rsid w:val="00A011C3"/>
    <w:rsid w:val="00B6574C"/>
    <w:rsid w:val="00B756D1"/>
    <w:rsid w:val="00C67B93"/>
    <w:rsid w:val="00C83B72"/>
    <w:rsid w:val="00CD2F89"/>
    <w:rsid w:val="00FD1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DF71"/>
  <w15:chartTrackingRefBased/>
  <w15:docId w15:val="{528E9BB1-5BDA-4F4C-BBE0-D005B14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4C"/>
    <w:pPr>
      <w:spacing w:after="0" w:line="240" w:lineRule="auto"/>
    </w:pPr>
    <w:rPr>
      <w:rFonts w:ascii="Calibri" w:hAnsi="Calibri" w:cs="Calibri"/>
    </w:rPr>
  </w:style>
  <w:style w:type="paragraph" w:styleId="Overskrift2">
    <w:name w:val="heading 2"/>
    <w:basedOn w:val="Normal"/>
    <w:next w:val="Normal"/>
    <w:link w:val="Overskrift2Tegn"/>
    <w:uiPriority w:val="9"/>
    <w:unhideWhenUsed/>
    <w:qFormat/>
    <w:rsid w:val="000E2C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F7B13"/>
    <w:pPr>
      <w:tabs>
        <w:tab w:val="center" w:pos="4819"/>
        <w:tab w:val="right" w:pos="9638"/>
      </w:tabs>
    </w:pPr>
  </w:style>
  <w:style w:type="character" w:customStyle="1" w:styleId="SidehovedTegn">
    <w:name w:val="Sidehoved Tegn"/>
    <w:basedOn w:val="Standardskrifttypeiafsnit"/>
    <w:link w:val="Sidehoved"/>
    <w:uiPriority w:val="99"/>
    <w:rsid w:val="007F7B13"/>
    <w:rPr>
      <w:rFonts w:ascii="Calibri" w:hAnsi="Calibri" w:cs="Calibri"/>
    </w:rPr>
  </w:style>
  <w:style w:type="paragraph" w:styleId="Sidefod">
    <w:name w:val="footer"/>
    <w:basedOn w:val="Normal"/>
    <w:link w:val="SidefodTegn"/>
    <w:uiPriority w:val="99"/>
    <w:unhideWhenUsed/>
    <w:rsid w:val="007F7B13"/>
    <w:pPr>
      <w:tabs>
        <w:tab w:val="center" w:pos="4819"/>
        <w:tab w:val="right" w:pos="9638"/>
      </w:tabs>
    </w:pPr>
  </w:style>
  <w:style w:type="character" w:customStyle="1" w:styleId="SidefodTegn">
    <w:name w:val="Sidefod Tegn"/>
    <w:basedOn w:val="Standardskrifttypeiafsnit"/>
    <w:link w:val="Sidefod"/>
    <w:uiPriority w:val="99"/>
    <w:rsid w:val="007F7B13"/>
    <w:rPr>
      <w:rFonts w:ascii="Calibri" w:hAnsi="Calibri" w:cs="Calibri"/>
    </w:rPr>
  </w:style>
  <w:style w:type="paragraph" w:styleId="Titel">
    <w:name w:val="Title"/>
    <w:basedOn w:val="Normal"/>
    <w:next w:val="Normal"/>
    <w:link w:val="TitelTegn"/>
    <w:uiPriority w:val="10"/>
    <w:qFormat/>
    <w:rsid w:val="007F7B1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7B13"/>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0E2C0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FD1363"/>
    <w:pPr>
      <w:ind w:left="720"/>
      <w:contextualSpacing/>
    </w:pPr>
  </w:style>
  <w:style w:type="character" w:styleId="Kommentarhenvisning">
    <w:name w:val="annotation reference"/>
    <w:basedOn w:val="Standardskrifttypeiafsnit"/>
    <w:uiPriority w:val="99"/>
    <w:semiHidden/>
    <w:unhideWhenUsed/>
    <w:rsid w:val="003E3928"/>
    <w:rPr>
      <w:sz w:val="16"/>
      <w:szCs w:val="16"/>
    </w:rPr>
  </w:style>
  <w:style w:type="paragraph" w:styleId="Kommentartekst">
    <w:name w:val="annotation text"/>
    <w:basedOn w:val="Normal"/>
    <w:link w:val="KommentartekstTegn"/>
    <w:uiPriority w:val="99"/>
    <w:semiHidden/>
    <w:unhideWhenUsed/>
    <w:rsid w:val="003E3928"/>
    <w:rPr>
      <w:sz w:val="20"/>
      <w:szCs w:val="20"/>
    </w:rPr>
  </w:style>
  <w:style w:type="character" w:customStyle="1" w:styleId="KommentartekstTegn">
    <w:name w:val="Kommentartekst Tegn"/>
    <w:basedOn w:val="Standardskrifttypeiafsnit"/>
    <w:link w:val="Kommentartekst"/>
    <w:uiPriority w:val="99"/>
    <w:semiHidden/>
    <w:rsid w:val="003E3928"/>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3E3928"/>
    <w:rPr>
      <w:b/>
      <w:bCs/>
    </w:rPr>
  </w:style>
  <w:style w:type="character" w:customStyle="1" w:styleId="KommentaremneTegn">
    <w:name w:val="Kommentaremne Tegn"/>
    <w:basedOn w:val="KommentartekstTegn"/>
    <w:link w:val="Kommentaremne"/>
    <w:uiPriority w:val="99"/>
    <w:semiHidden/>
    <w:rsid w:val="003E3928"/>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3E392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437067449">
      <w:bodyDiv w:val="1"/>
      <w:marLeft w:val="0"/>
      <w:marRight w:val="0"/>
      <w:marTop w:val="0"/>
      <w:marBottom w:val="0"/>
      <w:divBdr>
        <w:top w:val="none" w:sz="0" w:space="0" w:color="auto"/>
        <w:left w:val="none" w:sz="0" w:space="0" w:color="auto"/>
        <w:bottom w:val="none" w:sz="0" w:space="0" w:color="auto"/>
        <w:right w:val="none" w:sz="0" w:space="0" w:color="auto"/>
      </w:divBdr>
    </w:div>
    <w:div w:id="783964305">
      <w:bodyDiv w:val="1"/>
      <w:marLeft w:val="0"/>
      <w:marRight w:val="0"/>
      <w:marTop w:val="0"/>
      <w:marBottom w:val="0"/>
      <w:divBdr>
        <w:top w:val="none" w:sz="0" w:space="0" w:color="auto"/>
        <w:left w:val="none" w:sz="0" w:space="0" w:color="auto"/>
        <w:bottom w:val="none" w:sz="0" w:space="0" w:color="auto"/>
        <w:right w:val="none" w:sz="0" w:space="0" w:color="auto"/>
      </w:divBdr>
    </w:div>
    <w:div w:id="12597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7.png@01D7217A.2E5A8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9.png@01D7217A.2E5A85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A22B-1816-4583-A60A-DEEE7F2B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Harlev</dc:creator>
  <cp:keywords/>
  <dc:description/>
  <cp:lastModifiedBy>User12</cp:lastModifiedBy>
  <cp:revision>2</cp:revision>
  <dcterms:created xsi:type="dcterms:W3CDTF">2021-05-14T15:13:00Z</dcterms:created>
  <dcterms:modified xsi:type="dcterms:W3CDTF">2021-05-14T15:13:00Z</dcterms:modified>
</cp:coreProperties>
</file>